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b w:val="1"/>
          <w:sz w:val="21"/>
          <w:szCs w:val="21"/>
          <w:highlight w:val="white"/>
        </w:rPr>
      </w:pPr>
      <w:r w:rsidDel="00000000" w:rsidR="00000000" w:rsidRPr="00000000">
        <w:rPr>
          <w:b w:val="1"/>
          <w:sz w:val="21"/>
          <w:szCs w:val="21"/>
          <w:highlight w:val="white"/>
          <w:rtl w:val="0"/>
        </w:rPr>
        <w:t xml:space="preserve">Table: Encumbrance Penalties</w:t>
      </w:r>
    </w:p>
    <w:tbl>
      <w:tblPr>
        <w:tblStyle w:val="Table1"/>
        <w:tblW w:w="9405.0" w:type="dxa"/>
        <w:jc w:val="left"/>
        <w:tblInd w:w="40.0" w:type="pct"/>
        <w:tblBorders>
          <w:top w:color="888888" w:space="0" w:sz="6" w:val="single"/>
          <w:left w:color="888888" w:space="0" w:sz="6" w:val="single"/>
          <w:bottom w:color="888888" w:space="0" w:sz="6" w:val="single"/>
          <w:right w:color="888888" w:space="0" w:sz="6" w:val="single"/>
          <w:insideH w:color="888888" w:space="0" w:sz="6" w:val="single"/>
          <w:insideV w:color="888888" w:space="0" w:sz="6" w:val="single"/>
        </w:tblBorders>
        <w:tblLayout w:type="fixed"/>
        <w:tblLook w:val="0600"/>
      </w:tblPr>
      <w:tblGrid>
        <w:gridCol w:w="1605"/>
        <w:gridCol w:w="1995"/>
        <w:gridCol w:w="1935"/>
        <w:gridCol w:w="1275"/>
        <w:gridCol w:w="1290"/>
        <w:gridCol w:w="1305"/>
        <w:tblGridChange w:id="0">
          <w:tblGrid>
            <w:gridCol w:w="1605"/>
            <w:gridCol w:w="1995"/>
            <w:gridCol w:w="1935"/>
            <w:gridCol w:w="1275"/>
            <w:gridCol w:w="1290"/>
            <w:gridCol w:w="1305"/>
          </w:tblGrid>
        </w:tblGridChange>
      </w:tblGrid>
      <w:tr>
        <w:trPr>
          <w:trHeight w:val="300" w:hRule="atLeast"/>
        </w:trPr>
        <w:tc>
          <w:tcPr>
            <w:vMerge w:val="restart"/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Load</w:t>
            </w:r>
          </w:p>
        </w:tc>
        <w:tc>
          <w:tcPr>
            <w:vMerge w:val="restart"/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Max Dex</w:t>
            </w:r>
          </w:p>
        </w:tc>
        <w:tc>
          <w:tcPr>
            <w:vMerge w:val="restart"/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Check Penalty</w:t>
            </w:r>
          </w:p>
        </w:tc>
        <w:tc>
          <w:tcPr>
            <w:gridSpan w:val="2"/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Speed</w:t>
            </w:r>
          </w:p>
        </w:tc>
        <w:tc>
          <w:tcPr>
            <w:vMerge w:val="restart"/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Run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(30 ft.)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(20 ft.)</w:t>
            </w:r>
          </w:p>
        </w:tc>
        <w:tc>
          <w:tcPr>
            <w:vMerge w:val="continue"/>
            <w:tcBorders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Medium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+3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–3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20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15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×4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Heavy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+1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–6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20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15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b w:val="1"/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highlight w:val="white"/>
                <w:rtl w:val="0"/>
              </w:rPr>
              <w:t xml:space="preserve">×3</w:t>
            </w:r>
          </w:p>
        </w:tc>
      </w:tr>
    </w:tbl>
    <w:p w:rsidR="00000000" w:rsidDel="00000000" w:rsidP="00000000" w:rsidRDefault="00000000" w:rsidRPr="00000000" w14:paraId="00000019">
      <w:pPr>
        <w:contextualSpacing w:val="0"/>
        <w:jc w:val="center"/>
        <w:rPr>
          <w:b w:val="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jc w:val="center"/>
        <w:rPr>
          <w:b w:val="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jc w:val="center"/>
        <w:rPr/>
      </w:pPr>
      <w:r w:rsidDel="00000000" w:rsidR="00000000" w:rsidRPr="00000000">
        <w:rPr>
          <w:b w:val="1"/>
          <w:sz w:val="21"/>
          <w:szCs w:val="21"/>
          <w:highlight w:val="white"/>
          <w:rtl w:val="0"/>
        </w:rPr>
        <w:t xml:space="preserve">Table: Carrying Capacity</w:t>
      </w:r>
      <w:r w:rsidDel="00000000" w:rsidR="00000000" w:rsidRPr="00000000">
        <w:rPr>
          <w:rtl w:val="0"/>
        </w:rPr>
      </w:r>
    </w:p>
    <w:tbl>
      <w:tblPr>
        <w:tblStyle w:val="Table2"/>
        <w:tblW w:w="9330.0" w:type="dxa"/>
        <w:jc w:val="left"/>
        <w:tblInd w:w="40.0" w:type="pct"/>
        <w:tblBorders>
          <w:top w:color="888888" w:space="0" w:sz="6" w:val="single"/>
          <w:left w:color="888888" w:space="0" w:sz="6" w:val="single"/>
          <w:bottom w:color="888888" w:space="0" w:sz="6" w:val="single"/>
          <w:right w:color="888888" w:space="0" w:sz="6" w:val="single"/>
          <w:insideH w:color="888888" w:space="0" w:sz="6" w:val="single"/>
          <w:insideV w:color="888888" w:space="0" w:sz="6" w:val="single"/>
        </w:tblBorders>
        <w:tblLayout w:type="fixed"/>
        <w:tblLook w:val="0600"/>
      </w:tblPr>
      <w:tblGrid>
        <w:gridCol w:w="2505"/>
        <w:gridCol w:w="2790"/>
        <w:gridCol w:w="2190"/>
        <w:gridCol w:w="1845"/>
        <w:tblGridChange w:id="0">
          <w:tblGrid>
            <w:gridCol w:w="2505"/>
            <w:gridCol w:w="2790"/>
            <w:gridCol w:w="2190"/>
            <w:gridCol w:w="1845"/>
          </w:tblGrid>
        </w:tblGridChange>
      </w:tblGrid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Strength Score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Light Load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Medium Load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Heavy Load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17–33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34–50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20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21–40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41–60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23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24–46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47–70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27–53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54–80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9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30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31–60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61–90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10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33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34–66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67–100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38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39–76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77–115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12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43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44–86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87–130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51–100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101–150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14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58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59–116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117–175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67–133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134–200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16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77–153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154–230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17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87–173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174–260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18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100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101–200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201–300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19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116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117–233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234–350 lbs.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20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133 lbs. or less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134–266 lbs.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160" w:before="160" w:lineRule="auto"/>
              <w:ind w:left="160" w:right="160" w:firstLine="0"/>
              <w:contextualSpacing w:val="0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267–400 lbs.</w:t>
            </w:r>
          </w:p>
        </w:tc>
      </w:tr>
    </w:tbl>
    <w:p w:rsidR="00000000" w:rsidDel="00000000" w:rsidP="00000000" w:rsidRDefault="00000000" w:rsidRPr="00000000" w14:paraId="00000060">
      <w:pPr>
        <w:shd w:fill="ffffff" w:val="clear"/>
        <w:spacing w:after="160" w:lineRule="auto"/>
        <w:contextualSpacing w:val="0"/>
        <w:rPr>
          <w:color w:val="333333"/>
          <w:sz w:val="24"/>
          <w:szCs w:val="24"/>
        </w:rPr>
      </w:pPr>
      <w:r w:rsidDel="00000000" w:rsidR="00000000" w:rsidRPr="00000000">
        <w:rPr>
          <w:b w:val="1"/>
          <w:color w:val="333333"/>
          <w:sz w:val="24"/>
          <w:szCs w:val="24"/>
          <w:rtl w:val="0"/>
        </w:rPr>
        <w:t xml:space="preserve">Bigger and Smaller Creatures</w:t>
      </w:r>
      <w:r w:rsidDel="00000000" w:rsidR="00000000" w:rsidRPr="00000000">
        <w:rPr>
          <w:color w:val="333333"/>
          <w:sz w:val="24"/>
          <w:szCs w:val="24"/>
          <w:rtl w:val="0"/>
        </w:rPr>
        <w:t xml:space="preserve">: The figures on </w:t>
      </w:r>
      <w:hyperlink r:id="rId6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Table: Carrying Capacity</w:t>
        </w:r>
      </w:hyperlink>
      <w:r w:rsidDel="00000000" w:rsidR="00000000" w:rsidRPr="00000000">
        <w:rPr>
          <w:color w:val="333333"/>
          <w:sz w:val="24"/>
          <w:szCs w:val="24"/>
          <w:rtl w:val="0"/>
        </w:rPr>
        <w:t xml:space="preserve"> are for Medium bipedal creatures. A larger bipedal creature can carry more weight depending on its size category, as follows: Large ×2, Huge ×4. A smaller creature can carry less weight depending on its size category, as follows: Small ×3/4</w:t>
      </w:r>
    </w:p>
    <w:p w:rsidR="00000000" w:rsidDel="00000000" w:rsidP="00000000" w:rsidRDefault="00000000" w:rsidRPr="00000000" w14:paraId="00000061">
      <w:pPr>
        <w:shd w:fill="ffffff" w:val="clear"/>
        <w:spacing w:after="160" w:lineRule="auto"/>
        <w:contextualSpacing w:val="0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Quadrupeds can carry heavier loads than bipeds can. Multiply the values corresponding to the creature’s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Strength</w:t>
        </w:r>
      </w:hyperlink>
      <w:r w:rsidDel="00000000" w:rsidR="00000000" w:rsidRPr="00000000">
        <w:rPr>
          <w:color w:val="333333"/>
          <w:sz w:val="24"/>
          <w:szCs w:val="24"/>
          <w:rtl w:val="0"/>
        </w:rPr>
        <w:t xml:space="preserve"> score from </w:t>
      </w:r>
      <w:hyperlink r:id="rId8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Table: Carrying Capacity</w:t>
        </w:r>
      </w:hyperlink>
      <w:r w:rsidDel="00000000" w:rsidR="00000000" w:rsidRPr="00000000">
        <w:rPr>
          <w:color w:val="333333"/>
          <w:sz w:val="24"/>
          <w:szCs w:val="24"/>
          <w:rtl w:val="0"/>
        </w:rPr>
        <w:t xml:space="preserve"> by the appropriate modifier, as follows: Small ×1, Medium ×1-1/2, Large ×3, Huge ×6</w:t>
      </w:r>
    </w:p>
    <w:p w:rsidR="00000000" w:rsidDel="00000000" w:rsidP="00000000" w:rsidRDefault="00000000" w:rsidRPr="00000000" w14:paraId="00000062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5535.0" w:type="dxa"/>
        <w:jc w:val="left"/>
        <w:tblInd w:w="40.0" w:type="pct"/>
        <w:tblBorders>
          <w:top w:color="888888" w:space="0" w:sz="6" w:val="single"/>
          <w:left w:color="888888" w:space="0" w:sz="6" w:val="single"/>
          <w:bottom w:color="888888" w:space="0" w:sz="6" w:val="single"/>
          <w:right w:color="888888" w:space="0" w:sz="6" w:val="single"/>
          <w:insideH w:color="888888" w:space="0" w:sz="6" w:val="single"/>
          <w:insideV w:color="888888" w:space="0" w:sz="6" w:val="single"/>
        </w:tblBorders>
        <w:tblLayout w:type="fixed"/>
        <w:tblLook w:val="0600"/>
      </w:tblPr>
      <w:tblGrid>
        <w:gridCol w:w="2565"/>
        <w:gridCol w:w="2970"/>
        <w:tblGridChange w:id="0">
          <w:tblGrid>
            <w:gridCol w:w="2565"/>
            <w:gridCol w:w="2970"/>
          </w:tblGrid>
        </w:tblGridChange>
      </w:tblGrid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Base Speed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Reduced Speed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25 ft.–30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40 ft.–45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55 ft.–60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70 ft.–75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85 ft.–90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95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65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100 ft.–105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70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75 ft.</w:t>
            </w:r>
          </w:p>
        </w:tc>
      </w:tr>
      <w:tr>
        <w:trPr>
          <w:trHeight w:val="300" w:hRule="atLeast"/>
        </w:trPr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115 ft.–120 ft.</w:t>
            </w:r>
          </w:p>
        </w:tc>
        <w:tc>
          <w:tcPr>
            <w:tcBorders>
              <w:top w:color="888888" w:space="0" w:sz="6" w:val="single"/>
              <w:left w:color="888888" w:space="0" w:sz="6" w:val="single"/>
              <w:bottom w:color="888888" w:space="0" w:sz="6" w:val="single"/>
              <w:right w:color="888888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160" w:before="160" w:lineRule="auto"/>
              <w:ind w:left="160" w:right="160" w:firstLine="0"/>
              <w:contextualSpacing w:val="0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80 ft.</w:t>
            </w:r>
          </w:p>
        </w:tc>
      </w:tr>
    </w:tbl>
    <w:p w:rsidR="00000000" w:rsidDel="00000000" w:rsidP="00000000" w:rsidRDefault="00000000" w:rsidRPr="00000000" w14:paraId="00000081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d20pfsrd.com/alignment-description/carrying-capacity/carrying-capacity#TOC-Table-Carrying-Capacity" TargetMode="External"/><Relationship Id="rId7" Type="http://schemas.openxmlformats.org/officeDocument/2006/relationships/hyperlink" Target="https://www.d20pfsrd.com/basics-ability-scores/ability-scores#TOC-Strength-Str-" TargetMode="External"/><Relationship Id="rId8" Type="http://schemas.openxmlformats.org/officeDocument/2006/relationships/hyperlink" Target="https://www.d20pfsrd.com/alignment-description/carrying-capacity/carrying-capacity#TOC-Table-Carrying-Capac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